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3"/>
    <w:p>
      <w:pPr>
        <w:pStyle w:val="Heading1"/>
      </w:pPr>
      <w:r>
        <w:t xml:space="preserve">Homiletics Analysis: Esther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This Text as Component of a Larger Narrative:</w:t>
      </w:r>
      <w:r>
        <w:t xml:space="preserve"> </w:t>
      </w:r>
      <w:r>
        <w:t xml:space="preserve">Esther 3 functions as the narrative hinge of the book. Chapters 1–2 have established the stage: Xerxes’ volatile sovereignty, Mordecai’s loyalty, Esther’s hidden identity, and the apparently coincidental positioning of a Jewish woman in the Persian court. Chapter 3 now introduces the antagonist and detonates the crisis that will drive every remaining chapter. The book of Esther as a whole makes its claim through narrative irony and providential reversal — God’s hidden sovereignty working through apparently ordinary human decisions to preserve His covenant people against annihilation. Chapter 3 is where the threat is fully constructed; chapters 4–10 will be its unraveling. The reader cannot understand what chapters 4–10 are accomplishing without registering the full weight of what chapter 3 sets in motion.</w:t>
      </w:r>
    </w:p>
    <w:p>
      <w:pPr>
        <w:pStyle w:val="BodyText"/>
      </w:pPr>
      <w:r>
        <w:rPr>
          <w:b/>
          <w:bCs/>
        </w:rPr>
        <w:t xml:space="preserve">This Text — Content:</w:t>
      </w:r>
      <w:r>
        <w:t xml:space="preserve"> </w:t>
      </w:r>
      <w:r>
        <w:t xml:space="preserve">Haman the Agagite is elevated above all other nobles by King Xerxes. All the royal officials bow to Haman — except Mordecai, who refuses, day after day, citing his identity as a Jew. Haman, learning of this refusal, determines that individual punishment is insufficient — he will destroy not Mordecai but all the Jews in Xerxes’ kingdom. He casts the</w:t>
      </w:r>
      <w:r>
        <w:t xml:space="preserve"> </w:t>
      </w:r>
      <w:r>
        <w:rPr>
          <w:i/>
          <w:iCs/>
        </w:rPr>
        <w:t xml:space="preserve">pur</w:t>
      </w:r>
      <w:r>
        <w:t xml:space="preserve"> </w:t>
      </w:r>
      <w:r>
        <w:t xml:space="preserve">(lot) to determine the optimal month and day for the extermination, landing on the twelfth month. He approaches Xerxes with a calculated appeal: a certain people exist throughout the provinces whose laws differ from all other peoples’ and who do not obey the king’s laws — it is not in the king’s interest to tolerate them. Haman offers to fund the entire operation personally. Xerxes, without investigating the charge, hands Haman his signet ring and tells him to do with the people as he sees fit. A decree is drafted, sealed with the royal ring, and sent by courier to every province: on the thirteenth day of the twelfth month, all Jews — young and old, women and children — are to be killed and their property plundered. The edict is posted in Susa. Xerxes and Haman sit down to drink. The city of Susa is bewildered.</w:t>
      </w:r>
    </w:p>
    <w:p>
      <w:pPr>
        <w:pStyle w:val="BodyText"/>
      </w:pPr>
      <w:r>
        <w:rPr>
          <w:b/>
          <w:bCs/>
        </w:rPr>
        <w:t xml:space="preserve">This Text — Intent:</w:t>
      </w:r>
      <w:r>
        <w:t xml:space="preserve"> </w:t>
      </w:r>
      <w:r>
        <w:t xml:space="preserve">God is pressing the reader — ancient and modern — to register what is genuinely at stake when human pride, unchecked power, and racial hatred converge. The chapter is structured to produce a specific effect: dread and urgent question. The dread is not incidental atmosphere — it is the felt weight of a people’s total vulnerability before powers that neither see them nor care for them. The urgent question the chapter forces is:</w:t>
      </w:r>
      <w:r>
        <w:t xml:space="preserve"> </w:t>
      </w:r>
      <w:r>
        <w:rPr>
          <w:i/>
          <w:iCs/>
        </w:rPr>
        <w:t xml:space="preserve">Who, if anyone, will intervene?</w:t>
      </w:r>
      <w:r>
        <w:t xml:space="preserve"> </w:t>
      </w:r>
      <w:r>
        <w:t xml:space="preserve">The edict is irrevocable under Persian law. The machinery is in motion. The king is drinking. God is apparently absent. This is precisely the condition into which the rest of the book speaks — and it is the condition into which the gospel speaks. The intent is to produce in the reader a visceral recognition of what human life looks like when only human power stands between a people and destruction — and to leave them suspended in that recognition, waiting for what cannot come from within the story itself.</w:t>
      </w:r>
    </w:p>
    <w:p>
      <w:r>
        <w:pict>
          <v:rect style="width:0;height:1.5pt" o:hralign="center" o:hrstd="t" o:hr="t"/>
        </w:pict>
      </w:r>
    </w:p>
    <w:p>
      <w:pPr>
        <w:pStyle w:val="FirstParagraph"/>
      </w:pPr>
      <w:r>
        <w:rPr>
          <w:b/>
          <w:bCs/>
        </w:rPr>
        <w:t xml:space="preserve">Subject Sentence:</w:t>
      </w:r>
      <w:r>
        <w:t xml:space="preserve"> </w:t>
      </w:r>
      <w:r>
        <w:t xml:space="preserve">Haman’s decree of total Jewish annihilation reveals the lethal convergence of pride, power, and hatred against God’s covenant people.</w:t>
      </w:r>
    </w:p>
    <w:p>
      <w:r>
        <w:pict>
          <v:rect style="width:0;height:1.5pt" o:hralign="center" o:hrstd="t" o:hr="t"/>
        </w:pict>
      </w:r>
    </w:p>
    <w:p>
      <w:pPr>
        <w:pStyle w:val="FirstParagraph"/>
      </w:pPr>
      <w:r>
        <w:rPr>
          <w:b/>
          <w:bCs/>
        </w:rPr>
        <w:t xml:space="preserve">Primary Claim:</w:t>
      </w:r>
      <w:r>
        <w:t xml:space="preserve"> </w:t>
      </w:r>
      <w:r>
        <w:t xml:space="preserve">God is confronting the reader with the terrifying vulnerability of His people under human systems of power, and inviting the question that only His hidden providence can answer —</w:t>
      </w:r>
      <w:r>
        <w:t xml:space="preserve"> </w:t>
      </w:r>
      <w:r>
        <w:rPr>
          <w:i/>
          <w:iCs/>
        </w:rPr>
        <w:t xml:space="preserve">who will save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Absence of God’s Name:</w:t>
      </w:r>
      <w:r>
        <w:t xml:space="preserve"> </w:t>
      </w:r>
      <w:r>
        <w:t xml:space="preserve">The most significant interpretive issue in Esther 3 — and in the book as a whole — is the complete absence of any reference to God, prayer, the covenant, or religious practice. Critical scholars have used this absence to argue that Esther is a secular nationalist tale, or at best a diaspora survival manual with religious content retrofitted by later tradition. Some have argued the book should not have been canonized at all (Jerome and Luther both expressed reservations). This reading must be</w:t>
      </w:r>
      <w:r>
        <w:t xml:space="preserve"> </w:t>
      </w:r>
      <w:r>
        <w:rPr>
          <w:i/>
          <w:iCs/>
        </w:rPr>
        <w:t xml:space="preserve">qualified</w:t>
      </w:r>
      <w:r>
        <w:t xml:space="preserve">. The observation is accurate — God is not named in the Hebrew text of Esther. But the inference drawn is not. The book’s consistent pattern of apparent coincidence (Mordecai happens to overhear the assassination plot; Esther happens to find favor; the lot happens to fall on a date twelve months away) is not the random noise of a secular tale — it is the literary fingerprint of hidden providence. The text is designed to be read theologically precisely because it refuses to be read superficially. The absence of God’s name is not a theological gap — it is a theological statement: God is sovereign even when He is invisible, even in exile, even in Persia, even when the machinery of death is sealed with a king’s ring. Reformed readers should not be embarrassed by this; they should preach it. This is</w:t>
      </w:r>
      <w:r>
        <w:t xml:space="preserve"> </w:t>
      </w:r>
      <w:r>
        <w:rPr>
          <w:i/>
          <w:iCs/>
        </w:rPr>
        <w:t xml:space="preserve">deus absconditus</w:t>
      </w:r>
      <w:r>
        <w:t xml:space="preserve"> </w:t>
      </w:r>
      <w:r>
        <w:t xml:space="preserve">— the hidden God who is nonetheless entirely present and entirely active.</w:t>
      </w:r>
    </w:p>
    <w:p>
      <w:pPr>
        <w:pStyle w:val="BodyText"/>
      </w:pPr>
      <w:r>
        <w:rPr>
          <w:b/>
          <w:bCs/>
        </w:rPr>
        <w:t xml:space="preserve">Mordecai’s Refusal — Nationalism or Faithfulness?</w:t>
      </w:r>
      <w:r>
        <w:t xml:space="preserve"> </w:t>
      </w:r>
      <w:r>
        <w:t xml:space="preserve">Why does Mordecai refuse to bow? The text says he told the officials he was a Jew (v. 4), but does not explicitly say bowing would have been idolatrous. Some interpreters read Mordecai’s refusal as ethnic stubbornness rather than theological conviction, especially since Jews elsewhere bow to non-Jewish authorities without apparent sin (Joseph bows repeatedly in Egypt; Daniel serves Nebuchadnezzar). Others read it as a specific conflict with Haman’s Agagite identity — Haman is a descendant of Agag, king of Amalek; Mordecai is a descendant of Kish of Benjamin, the same lineage as Saul. The ancient enmity between Israel and Amalek (Exodus 17; 1 Samuel 15) then frames the conflict as covenantal, not merely personal. This reading should be</w:t>
      </w:r>
      <w:r>
        <w:t xml:space="preserve"> </w:t>
      </w:r>
      <w:r>
        <w:rPr>
          <w:i/>
          <w:iCs/>
        </w:rPr>
        <w:t xml:space="preserve">acknowledged</w:t>
      </w:r>
      <w:r>
        <w:t xml:space="preserve"> </w:t>
      </w:r>
      <w:r>
        <w:t xml:space="preserve">as illuminating without being made to carry the full weight of interpretation. What the text emphasizes is Mordecai’s</w:t>
      </w:r>
      <w:r>
        <w:t xml:space="preserve"> </w:t>
      </w:r>
      <w:r>
        <w:rPr>
          <w:i/>
          <w:iCs/>
        </w:rPr>
        <w:t xml:space="preserve">identity declaration</w:t>
      </w:r>
      <w:r>
        <w:t xml:space="preserve">: he repeatedly tells those who ask that he is a Jew. Whether the refusal is anti-idolatry (worship), anti-submission (ethnic pride), or anti-Agagite (covenantal memory), the text presents the refusal as identity-grounded, not merely stubborn. The Reformed exposition should hold this carefully: Mordecai is not presented as perfectly wise or theologically articulate — but his refusal to subordinate his God-given identity to Haman’s demand for obeisance is the crack in the wall that reveals Haman’s nature.</w:t>
      </w:r>
    </w:p>
    <w:p>
      <w:pPr>
        <w:pStyle w:val="BodyText"/>
      </w:pPr>
      <w:r>
        <w:rPr>
          <w:b/>
          <w:bCs/>
        </w:rPr>
        <w:t xml:space="preserve">Haman as Type and Haman as Character:</w:t>
      </w:r>
      <w:r>
        <w:t xml:space="preserve"> </w:t>
      </w:r>
      <w:r>
        <w:t xml:space="preserve">Some typological readings flatten Haman into a one-dimensional symbol of Satan or of the enemies of Israel, reading Esther as pure allegory. This should be</w:t>
      </w:r>
      <w:r>
        <w:t xml:space="preserve"> </w:t>
      </w:r>
      <w:r>
        <w:rPr>
          <w:i/>
          <w:iCs/>
        </w:rPr>
        <w:t xml:space="preserve">qualified</w:t>
      </w:r>
      <w:r>
        <w:t xml:space="preserve">. Haman is certainly the antagonist and his defeat carries theological weight, but he is also a fully rendered human character: vain, politically adept, emotionally fragile (his wound is</w:t>
      </w:r>
      <w:r>
        <w:t xml:space="preserve"> </w:t>
      </w:r>
      <w:r>
        <w:rPr>
          <w:i/>
          <w:iCs/>
        </w:rPr>
        <w:t xml:space="preserve">one man’s</w:t>
      </w:r>
      <w:r>
        <w:t xml:space="preserve"> </w:t>
      </w:r>
      <w:r>
        <w:t xml:space="preserve">refusal to bow), and catastrophically overconfident. The typological dimension is real — Haman the Agagite belongs to a lineage Scripture has already marked as paradigmatic enemy of God’s people — but reducing him to symbol drains the narrative of its warning. The more unsettling reading is that Haman is</w:t>
      </w:r>
      <w:r>
        <w:t xml:space="preserve"> </w:t>
      </w:r>
      <w:r>
        <w:rPr>
          <w:i/>
          <w:iCs/>
        </w:rPr>
        <w:t xml:space="preserve">plausible</w:t>
      </w:r>
      <w:r>
        <w:t xml:space="preserve">: a man whose wounded pride expands geometrically into genocidal policy. That is not allegory. That is history, and it is the kind of history Esther 3 insists the reader take seriously.</w:t>
      </w:r>
    </w:p>
    <w:p>
      <w:pPr>
        <w:pStyle w:val="BodyText"/>
      </w:pPr>
      <w:r>
        <w:rPr>
          <w:b/>
          <w:bCs/>
        </w:rPr>
        <w:t xml:space="preserve">Irrevocability of the Decree:</w:t>
      </w:r>
      <w:r>
        <w:t xml:space="preserve"> </w:t>
      </w:r>
      <w:r>
        <w:t xml:space="preserve">Some dispensational readings focus on the legal irrevocability of the Median-Persian law (cf. Daniel 6:8) as a parallel to God’s irrevocable decrees, reading Haman’s edict typologically as analogous to sin’s legal claim over humanity. This is a creative homiletical move, and there is canonical warrant for thinking about law’s irrevocability in relation to gospel (see Galatians 3). However, this typological reading should be</w:t>
      </w:r>
      <w:r>
        <w:t xml:space="preserve"> </w:t>
      </w:r>
      <w:r>
        <w:rPr>
          <w:i/>
          <w:iCs/>
        </w:rPr>
        <w:t xml:space="preserve">qualified</w:t>
      </w:r>
      <w:r>
        <w:t xml:space="preserve"> </w:t>
      </w:r>
      <w:r>
        <w:t xml:space="preserve">— it can easily depart from Esther 3’s own claim and become an imported grid. The text’s own emphasis is not on legal categories but on the total, systematic, empire-wide nature of the threat. The Reformed exposition should let the text’s own emphasis drive: the danger is total, the machinery is in motion, and no human mechanism within the story can undo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17:8-16; 1 Samuel 15:1-35</w:t>
      </w:r>
      <w:r>
        <w:t xml:space="preserve"> </w:t>
      </w:r>
      <w:r>
        <w:t xml:space="preserve">— The LORD’s ongoing conflict with Amalek, and Saul’s failure to fully execute the judgment, establishes the covenantal backstory that makes the Mordecai/Haman conflict legible as more than personal animosity — it is the ancient enmity surfacing again, and the covenant people are again at risk.</w:t>
      </w:r>
    </w:p>
    <w:p>
      <w:pPr>
        <w:numPr>
          <w:ilvl w:val="0"/>
          <w:numId w:val="1001"/>
        </w:numPr>
      </w:pPr>
      <w:r>
        <w:rPr>
          <w:b/>
          <w:bCs/>
        </w:rPr>
        <w:t xml:space="preserve">Psalm 2:1-6</w:t>
      </w:r>
      <w:r>
        <w:t xml:space="preserve"> </w:t>
      </w:r>
      <w:r>
        <w:t xml:space="preserve">—</w:t>
      </w:r>
      <w:r>
        <w:t xml:space="preserve"> </w:t>
      </w:r>
      <w:r>
        <w:t xml:space="preserve">“Why do the nations rage and the peoples plot in vain?”</w:t>
      </w:r>
      <w:r>
        <w:t xml:space="preserve"> </w:t>
      </w:r>
      <w:r>
        <w:t xml:space="preserve">— The psalm frames the pattern of Esther 3 canonically: human powers conspiring against the LORD’s purposes and His people, with God’s response not panicked but sovereign (</w:t>
      </w:r>
      <w:r>
        <w:t xml:space="preserve">“He who sits in the heavens laughs”</w:t>
      </w:r>
      <w:r>
        <w:t xml:space="preserve">). The dread of Esther 3 is answered by the confidence of Psalm 2.</w:t>
      </w:r>
    </w:p>
    <w:p>
      <w:pPr>
        <w:numPr>
          <w:ilvl w:val="0"/>
          <w:numId w:val="1001"/>
        </w:numPr>
      </w:pPr>
      <w:r>
        <w:rPr>
          <w:b/>
          <w:bCs/>
        </w:rPr>
        <w:t xml:space="preserve">Daniel 3:8-12; 6:6-9</w:t>
      </w:r>
      <w:r>
        <w:t xml:space="preserve"> </w:t>
      </w:r>
      <w:r>
        <w:t xml:space="preserve">— Parallel diaspora accounts of faithful Jews in hostile imperial courts who refuse to comply with decrees that would compromise their identity before God, and whose refusal triggers official persecution — providing the canonical pattern within which Mordecai’s refusal and Haman’s response must be read.</w:t>
      </w:r>
    </w:p>
    <w:p>
      <w:pPr>
        <w:numPr>
          <w:ilvl w:val="0"/>
          <w:numId w:val="1001"/>
        </w:numPr>
      </w:pPr>
      <w:r>
        <w:rPr>
          <w:b/>
          <w:bCs/>
        </w:rPr>
        <w:t xml:space="preserve">Genesis 12:3</w:t>
      </w:r>
      <w:r>
        <w:t xml:space="preserve"> </w:t>
      </w:r>
      <w:r>
        <w:t xml:space="preserve">— God’s covenant with Abraham:</w:t>
      </w:r>
      <w:r>
        <w:t xml:space="preserve"> </w:t>
      </w:r>
      <w:r>
        <w:t xml:space="preserve">“I will bless those who bless you, and him who dishonors you I will curse.”</w:t>
      </w:r>
      <w:r>
        <w:t xml:space="preserve"> </w:t>
      </w:r>
      <w:r>
        <w:t xml:space="preserve">Haman’s decree is not merely politically ambitious — it is a direct assault on the people through whom God has bound Himself to bless the world. The decree’s ultimate failure is already covenantally secured before the book of Esther begins.</w:t>
      </w:r>
    </w:p>
    <w:p>
      <w:pPr>
        <w:numPr>
          <w:ilvl w:val="0"/>
          <w:numId w:val="1001"/>
        </w:numPr>
      </w:pPr>
      <w:r>
        <w:rPr>
          <w:b/>
          <w:bCs/>
        </w:rPr>
        <w:t xml:space="preserve">Romans 8:31-39</w:t>
      </w:r>
      <w:r>
        <w:t xml:space="preserve"> </w:t>
      </w:r>
      <w:r>
        <w:t xml:space="preserve">—</w:t>
      </w:r>
      <w:r>
        <w:t xml:space="preserve"> </w:t>
      </w:r>
      <w:r>
        <w:t xml:space="preserve">“If God is for us, who can be against us?”</w:t>
      </w:r>
      <w:r>
        <w:t xml:space="preserve"> </w:t>
      </w:r>
      <w:r>
        <w:t xml:space="preserve">— Paul’s argument that no power, principality, or human authority can ultimately separate the people of God from the love of God provides the New Testament theological ground for reading the total vulnerability of Esther 3 through the lens of certain preservation. The enemy’s decree cannot finalize what God’s covenant has already secured.</w:t>
      </w:r>
    </w:p>
    <w:p>
      <w:r>
        <w:pict>
          <v:rect style="width:0;height:1.5pt" o:hralign="center" o:hrstd="t" o:hr="t"/>
        </w:pict>
      </w:r>
    </w:p>
    <w:p>
      <w:pPr>
        <w:pStyle w:val="FirstParagraph"/>
      </w:pPr>
      <w:r>
        <w:rPr>
          <w:b/>
          <w:bCs/>
        </w:rPr>
        <w:t xml:space="preserve">Aim:</w:t>
      </w:r>
      <w:r>
        <w:t xml:space="preserve"> </w:t>
      </w:r>
      <w:r>
        <w:t xml:space="preserve">To press the reader to feel the full weight of total human vulnerability before systems of power and hatred, and to locate the only adequate answer in the hidden providence of a God who never abandons His covenant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Xerxes honors Haman the Agagite, elevating him above all other nobles</w:t>
            </w:r>
          </w:p>
        </w:tc>
        <w:tc>
          <w:tcPr/>
          <w:p>
            <w:pPr>
              <w:pStyle w:val="Compact"/>
            </w:pPr>
            <w:r>
              <w:t xml:space="preserve">“After these things”</w:t>
            </w:r>
            <w:r>
              <w:t xml:space="preserve"> </w:t>
            </w:r>
            <w:r>
              <w:t xml:space="preserve">— after Mordecai’s unrecognized loyalty in ch. 2; the juxtaposition is pointed. Agagite signals Amalekite lineage.</w:t>
            </w:r>
          </w:p>
        </w:tc>
      </w:tr>
      <w:tr>
        <w:tc>
          <w:tcPr/>
          <w:p>
            <w:pPr>
              <w:pStyle w:val="Compact"/>
            </w:pPr>
            <w:r>
              <w:t xml:space="preserve">3:2</w:t>
            </w:r>
          </w:p>
        </w:tc>
        <w:tc>
          <w:tcPr/>
          <w:p>
            <w:pPr>
              <w:pStyle w:val="Compact"/>
            </w:pPr>
            <w:r>
              <w:t xml:space="preserve">All royal officials bow to Haman as commanded — Mordecai alone refuses</w:t>
            </w:r>
          </w:p>
        </w:tc>
        <w:tc>
          <w:tcPr/>
          <w:p>
            <w:pPr>
              <w:pStyle w:val="Compact"/>
            </w:pPr>
            <w:r>
              <w:t xml:space="preserve">The text emphasizes</w:t>
            </w:r>
            <w:r>
              <w:t xml:space="preserve"> </w:t>
            </w:r>
            <w:r>
              <w:rPr>
                <w:i/>
                <w:iCs/>
              </w:rPr>
              <w:t xml:space="preserve">all</w:t>
            </w:r>
            <w:r>
              <w:t xml:space="preserve"> </w:t>
            </w:r>
            <w:r>
              <w:t xml:space="preserve">officials bow; Mordecai’s refusal is isolated and conspicuous.</w:t>
            </w:r>
          </w:p>
        </w:tc>
      </w:tr>
      <w:tr>
        <w:tc>
          <w:tcPr/>
          <w:p>
            <w:pPr>
              <w:pStyle w:val="Compact"/>
            </w:pPr>
            <w:r>
              <w:t xml:space="preserve">3:3-4</w:t>
            </w:r>
          </w:p>
        </w:tc>
        <w:tc>
          <w:tcPr/>
          <w:p>
            <w:pPr>
              <w:pStyle w:val="Compact"/>
            </w:pPr>
            <w:r>
              <w:t xml:space="preserve">Officials question Mordecai daily; he gives no ground; he tells them he is a Jew; they report to Haman to see whether his reason will be accepted</w:t>
            </w:r>
          </w:p>
        </w:tc>
        <w:tc>
          <w:tcPr/>
          <w:p>
            <w:pPr>
              <w:pStyle w:val="Compact"/>
            </w:pPr>
            <w:r>
              <w:t xml:space="preserve">The repetition (</w:t>
            </w:r>
            <w:r>
              <w:t xml:space="preserve">“day after day”</w:t>
            </w:r>
            <w:r>
              <w:t xml:space="preserve">) emphasizes the sustained, deliberate nature of the refusal. His identity as Jew is the stated reason.</w:t>
            </w:r>
          </w:p>
        </w:tc>
      </w:tr>
      <w:tr>
        <w:tc>
          <w:tcPr/>
          <w:p>
            <w:pPr>
              <w:pStyle w:val="Compact"/>
            </w:pPr>
            <w:r>
              <w:t xml:space="preserve">3:5</w:t>
            </w:r>
          </w:p>
        </w:tc>
        <w:tc>
          <w:tcPr/>
          <w:p>
            <w:pPr>
              <w:pStyle w:val="Compact"/>
            </w:pPr>
            <w:r>
              <w:t xml:space="preserve">Haman sees that Mordecai neither bows nor does obeisance — he is</w:t>
            </w:r>
            <w:r>
              <w:t xml:space="preserve"> </w:t>
            </w:r>
            <w:r>
              <w:t xml:space="preserve">“filled with fury”</w:t>
            </w:r>
          </w:p>
        </w:tc>
        <w:tc>
          <w:tcPr/>
          <w:p>
            <w:pPr>
              <w:pStyle w:val="Compact"/>
            </w:pPr>
            <w:r>
              <w:t xml:space="preserve">The text notes Haman</w:t>
            </w:r>
            <w:r>
              <w:t xml:space="preserve"> </w:t>
            </w:r>
            <w:r>
              <w:t xml:space="preserve">“saw”</w:t>
            </w:r>
            <w:r>
              <w:t xml:space="preserve"> </w:t>
            </w:r>
            <w:r>
              <w:t xml:space="preserve">— the moment of direct perception triggers the emotion.</w:t>
            </w:r>
          </w:p>
        </w:tc>
      </w:tr>
      <w:tr>
        <w:tc>
          <w:tcPr/>
          <w:p>
            <w:pPr>
              <w:pStyle w:val="Compact"/>
            </w:pPr>
            <w:r>
              <w:t xml:space="preserve">3:6</w:t>
            </w:r>
          </w:p>
        </w:tc>
        <w:tc>
          <w:tcPr/>
          <w:p>
            <w:pPr>
              <w:pStyle w:val="Compact"/>
            </w:pPr>
            <w:r>
              <w:t xml:space="preserve">Haman scorns killing only Mordecai; determines to destroy all Jews —</w:t>
            </w:r>
            <w:r>
              <w:t xml:space="preserve"> </w:t>
            </w:r>
            <w:r>
              <w:t xml:space="preserve">“the people of Mordecai”</w:t>
            </w:r>
            <w:r>
              <w:t xml:space="preserve"> </w:t>
            </w:r>
            <w:r>
              <w:t xml:space="preserve">— throughout Xerxes’ kingdom</w:t>
            </w:r>
          </w:p>
        </w:tc>
        <w:tc>
          <w:tcPr/>
          <w:p>
            <w:pPr>
              <w:pStyle w:val="Compact"/>
            </w:pPr>
            <w:r>
              <w:t xml:space="preserve">The geometrical expansion: one man’s refusal → genocide.</w:t>
            </w:r>
            <w:r>
              <w:t xml:space="preserve"> </w:t>
            </w:r>
            <w:r>
              <w:t xml:space="preserve">“They had told him what people Mordecai belonged to.”</w:t>
            </w:r>
          </w:p>
        </w:tc>
      </w:tr>
      <w:tr>
        <w:tc>
          <w:tcPr/>
          <w:p>
            <w:pPr>
              <w:pStyle w:val="Compact"/>
            </w:pPr>
            <w:r>
              <w:t xml:space="preserve">3:7</w:t>
            </w:r>
          </w:p>
        </w:tc>
        <w:tc>
          <w:tcPr/>
          <w:p>
            <w:pPr>
              <w:pStyle w:val="Compact"/>
            </w:pPr>
            <w:r>
              <w:t xml:space="preserve">In the first month, the twelfth year, Haman casts</w:t>
            </w:r>
            <w:r>
              <w:t xml:space="preserve"> </w:t>
            </w:r>
            <w:r>
              <w:rPr>
                <w:i/>
                <w:iCs/>
              </w:rPr>
              <w:t xml:space="preserve">pur</w:t>
            </w:r>
            <w:r>
              <w:t xml:space="preserve"> </w:t>
            </w:r>
            <w:r>
              <w:t xml:space="preserve">(lot) for each day and month — the lot falls on the twelfth month (Adar)</w:t>
            </w:r>
          </w:p>
        </w:tc>
        <w:tc>
          <w:tcPr/>
          <w:p>
            <w:pPr>
              <w:pStyle w:val="Compact"/>
            </w:pPr>
            <w:r>
              <w:rPr>
                <w:i/>
                <w:iCs/>
              </w:rPr>
              <w:t xml:space="preserve">Pur</w:t>
            </w:r>
            <w:r>
              <w:t xml:space="preserve"> </w:t>
            </w:r>
            <w:r>
              <w:t xml:space="preserve">= lot; gives the book its name (Purim). Twelfth month = approximately eleven months away. The delay is providentially significant.</w:t>
            </w:r>
          </w:p>
        </w:tc>
      </w:tr>
      <w:tr>
        <w:tc>
          <w:tcPr/>
          <w:p>
            <w:pPr>
              <w:pStyle w:val="Compact"/>
            </w:pPr>
            <w:r>
              <w:t xml:space="preserve">3:8-9</w:t>
            </w:r>
          </w:p>
        </w:tc>
        <w:tc>
          <w:tcPr/>
          <w:p>
            <w:pPr>
              <w:pStyle w:val="Compact"/>
            </w:pPr>
            <w:r>
              <w:t xml:space="preserve">Haman’s speech to Xerxes: a people dispersed through all provinces whose customs differ from all others; who do not obey the king’s laws; not in the king’s interest to tolerate them; Haman offers 10,000 talents of silver to the royal treasury</w:t>
            </w:r>
          </w:p>
        </w:tc>
        <w:tc>
          <w:tcPr/>
          <w:p>
            <w:pPr>
              <w:pStyle w:val="Compact"/>
            </w:pPr>
            <w:r>
              <w:t xml:space="preserve">Calculated, imprecise, manipulative —</w:t>
            </w:r>
            <w:r>
              <w:t xml:space="preserve"> </w:t>
            </w:r>
            <w:r>
              <w:t xml:space="preserve">“a certain people”</w:t>
            </w:r>
            <w:r>
              <w:t xml:space="preserve"> </w:t>
            </w:r>
            <w:r>
              <w:t xml:space="preserve">(unnamed). The financial offer is enormous — effectively Haman is purchasing a people’s annihilation.</w:t>
            </w:r>
          </w:p>
        </w:tc>
      </w:tr>
      <w:tr>
        <w:tc>
          <w:tcPr/>
          <w:p>
            <w:pPr>
              <w:pStyle w:val="Compact"/>
            </w:pPr>
            <w:r>
              <w:t xml:space="preserve">3:10-11</w:t>
            </w:r>
          </w:p>
        </w:tc>
        <w:tc>
          <w:tcPr/>
          <w:p>
            <w:pPr>
              <w:pStyle w:val="Compact"/>
            </w:pPr>
            <w:r>
              <w:t xml:space="preserve">Xerxes removes his signet ring and gives it to Haman; tells him to keep the money and do with the people as he sees fit</w:t>
            </w:r>
          </w:p>
        </w:tc>
        <w:tc>
          <w:tcPr/>
          <w:p>
            <w:pPr>
              <w:pStyle w:val="Compact"/>
            </w:pPr>
            <w:r>
              <w:t xml:space="preserve">No investigation. No names asked. Casual, absolute delegation of genocidal authority.</w:t>
            </w:r>
          </w:p>
        </w:tc>
      </w:tr>
      <w:tr>
        <w:tc>
          <w:tcPr/>
          <w:p>
            <w:pPr>
              <w:pStyle w:val="Compact"/>
            </w:pPr>
            <w:r>
              <w:t xml:space="preserve">3:12</w:t>
            </w:r>
          </w:p>
        </w:tc>
        <w:tc>
          <w:tcPr/>
          <w:p>
            <w:pPr>
              <w:pStyle w:val="Compact"/>
            </w:pPr>
            <w:r>
              <w:t xml:space="preserve">Royal secretaries summoned; decree drafted and sent to all satraps, governors, and princes in every language — in the name of King Xerxes, sealed with the signet ring</w:t>
            </w:r>
          </w:p>
        </w:tc>
        <w:tc>
          <w:tcPr/>
          <w:p>
            <w:pPr>
              <w:pStyle w:val="Compact"/>
            </w:pPr>
            <w:r>
              <w:t xml:space="preserve">The machinery of empire fully engaged. Every province. Every language. Every level of government.</w:t>
            </w:r>
          </w:p>
        </w:tc>
      </w:tr>
      <w:tr>
        <w:tc>
          <w:tcPr/>
          <w:p>
            <w:pPr>
              <w:pStyle w:val="Compact"/>
            </w:pPr>
            <w:r>
              <w:t xml:space="preserve">3:13</w:t>
            </w:r>
          </w:p>
        </w:tc>
        <w:tc>
          <w:tcPr/>
          <w:p>
            <w:pPr>
              <w:pStyle w:val="Compact"/>
            </w:pPr>
            <w:r>
              <w:t xml:space="preserve">Letters sent by courier to all provinces: destroy, kill, and annihilate all Jews — young and old, women and children — on the thirteenth day of the twelfth month; plunder their goods</w:t>
            </w:r>
          </w:p>
        </w:tc>
        <w:tc>
          <w:tcPr/>
          <w:p>
            <w:pPr>
              <w:pStyle w:val="Compact"/>
            </w:pPr>
            <w:r>
              <w:t xml:space="preserve">Three verbs of destruction. Every demographic included. Property seizure incentivizes participation.</w:t>
            </w:r>
          </w:p>
        </w:tc>
      </w:tr>
      <w:tr>
        <w:tc>
          <w:tcPr/>
          <w:p>
            <w:pPr>
              <w:pStyle w:val="Compact"/>
            </w:pPr>
            <w:r>
              <w:t xml:space="preserve">3:14-15a</w:t>
            </w:r>
          </w:p>
        </w:tc>
        <w:tc>
          <w:tcPr/>
          <w:p>
            <w:pPr>
              <w:pStyle w:val="Compact"/>
            </w:pPr>
            <w:r>
              <w:t xml:space="preserve">Decree posted as law in every province; couriers go out in haste; edict issued in Susa</w:t>
            </w:r>
          </w:p>
        </w:tc>
        <w:tc>
          <w:tcPr/>
          <w:p>
            <w:pPr>
              <w:pStyle w:val="Compact"/>
            </w:pPr>
            <w:r>
              <w:t xml:space="preserve">Speed and thoroughness. The word</w:t>
            </w:r>
            <w:r>
              <w:t xml:space="preserve"> </w:t>
            </w:r>
            <w:r>
              <w:t xml:space="preserve">“haste”</w:t>
            </w:r>
            <w:r>
              <w:t xml:space="preserve"> </w:t>
            </w:r>
            <w:r>
              <w:t xml:space="preserve">underscores the irreversibility in motion.</w:t>
            </w:r>
          </w:p>
        </w:tc>
      </w:tr>
      <w:tr>
        <w:tc>
          <w:tcPr/>
          <w:p>
            <w:pPr>
              <w:pStyle w:val="Compact"/>
            </w:pPr>
            <w:r>
              <w:t xml:space="preserve">3:15b</w:t>
            </w:r>
          </w:p>
        </w:tc>
        <w:tc>
          <w:tcPr/>
          <w:p>
            <w:pPr>
              <w:pStyle w:val="Compact"/>
            </w:pPr>
            <w:r>
              <w:t xml:space="preserve">The king and Haman sit down to drink; the city of Susa is bewildered</w:t>
            </w:r>
          </w:p>
        </w:tc>
        <w:tc>
          <w:tcPr/>
          <w:p>
            <w:pPr>
              <w:pStyle w:val="Compact"/>
            </w:pPr>
            <w:r>
              <w:t xml:space="preserve">Final image: casual indifference above; confusion and dread below. The contrast is devastating.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3:1-2</w:t>
            </w:r>
          </w:p>
        </w:tc>
        <w:tc>
          <w:tcPr/>
          <w:p>
            <w:pPr>
              <w:pStyle w:val="Compact"/>
            </w:pPr>
            <w:r>
              <w:t xml:space="preserve">The Setup: Haman Elevated, Mordecai Unmoved</w:t>
            </w:r>
          </w:p>
        </w:tc>
      </w:tr>
      <w:tr>
        <w:tc>
          <w:tcPr/>
          <w:p>
            <w:pPr>
              <w:pStyle w:val="Compact"/>
            </w:pPr>
            <w:r>
              <w:t xml:space="preserve">2</w:t>
            </w:r>
          </w:p>
        </w:tc>
        <w:tc>
          <w:tcPr/>
          <w:p>
            <w:pPr>
              <w:pStyle w:val="Compact"/>
            </w:pPr>
            <w:r>
              <w:t xml:space="preserve">3:3-6</w:t>
            </w:r>
          </w:p>
        </w:tc>
        <w:tc>
          <w:tcPr/>
          <w:p>
            <w:pPr>
              <w:pStyle w:val="Compact"/>
            </w:pPr>
            <w:r>
              <w:t xml:space="preserve">The Wound: One Man’s Refusal, One Nation’s Sentence</w:t>
            </w:r>
          </w:p>
        </w:tc>
      </w:tr>
      <w:tr>
        <w:tc>
          <w:tcPr/>
          <w:p>
            <w:pPr>
              <w:pStyle w:val="Compact"/>
            </w:pPr>
            <w:r>
              <w:t xml:space="preserve">3</w:t>
            </w:r>
          </w:p>
        </w:tc>
        <w:tc>
          <w:tcPr/>
          <w:p>
            <w:pPr>
              <w:pStyle w:val="Compact"/>
            </w:pPr>
            <w:r>
              <w:t xml:space="preserve">3:7</w:t>
            </w:r>
          </w:p>
        </w:tc>
        <w:tc>
          <w:tcPr/>
          <w:p>
            <w:pPr>
              <w:pStyle w:val="Compact"/>
            </w:pPr>
            <w:r>
              <w:t xml:space="preserve">The Calculation: The Lot Is Cast</w:t>
            </w:r>
          </w:p>
        </w:tc>
      </w:tr>
      <w:tr>
        <w:tc>
          <w:tcPr/>
          <w:p>
            <w:pPr>
              <w:pStyle w:val="Compact"/>
            </w:pPr>
            <w:r>
              <w:t xml:space="preserve">4</w:t>
            </w:r>
          </w:p>
        </w:tc>
        <w:tc>
          <w:tcPr/>
          <w:p>
            <w:pPr>
              <w:pStyle w:val="Compact"/>
            </w:pPr>
            <w:r>
              <w:t xml:space="preserve">3:8-11</w:t>
            </w:r>
          </w:p>
        </w:tc>
        <w:tc>
          <w:tcPr/>
          <w:p>
            <w:pPr>
              <w:pStyle w:val="Compact"/>
            </w:pPr>
            <w:r>
              <w:t xml:space="preserve">The Petition: Haman Purchases a Genocide</w:t>
            </w:r>
          </w:p>
        </w:tc>
      </w:tr>
      <w:tr>
        <w:tc>
          <w:tcPr/>
          <w:p>
            <w:pPr>
              <w:pStyle w:val="Compact"/>
            </w:pPr>
            <w:r>
              <w:t xml:space="preserve">5</w:t>
            </w:r>
          </w:p>
        </w:tc>
        <w:tc>
          <w:tcPr/>
          <w:p>
            <w:pPr>
              <w:pStyle w:val="Compact"/>
            </w:pPr>
            <w:r>
              <w:t xml:space="preserve">3:12-15</w:t>
            </w:r>
          </w:p>
        </w:tc>
        <w:tc>
          <w:tcPr/>
          <w:p>
            <w:pPr>
              <w:pStyle w:val="Compact"/>
            </w:pPr>
            <w:r>
              <w:t xml:space="preserve">The Machinery: Empire Deploys Against a People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Haman’s decree of total Jewish annihilation reveals the lethal convergence of pride, power, and hatred against God’s covenant people.</w:t>
      </w:r>
    </w:p>
    <w:p>
      <w:pPr>
        <w:pStyle w:val="BodyText"/>
      </w:pPr>
      <w:r>
        <w:rPr>
          <w:b/>
          <w:bCs/>
        </w:rPr>
        <w:t xml:space="preserve">Primary Claim:</w:t>
      </w:r>
      <w:r>
        <w:t xml:space="preserve"> </w:t>
      </w:r>
      <w:r>
        <w:t xml:space="preserve">God is confronting the reader with the terrifying vulnerability of His people under human systems of power, and inviting the question that only His hidden providence can answer —</w:t>
      </w:r>
      <w:r>
        <w:t xml:space="preserve"> </w:t>
      </w:r>
      <w:r>
        <w:rPr>
          <w:i/>
          <w:iCs/>
        </w:rPr>
        <w:t xml:space="preserve">who will save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no human system — however powerful — is the final word over the people God has covenanted to protect.</w:t>
      </w:r>
      <w:r>
        <w:t xml:space="preserve"> </w:t>
      </w:r>
      <w:r>
        <w:rPr>
          <w:i/>
          <w:iCs/>
        </w:rPr>
        <w:t xml:space="preserve">(Mind/belief)</w:t>
      </w:r>
      <w:r>
        <w:t xml:space="preserve"> </w:t>
      </w:r>
      <w:r>
        <w:t xml:space="preserve">Haman’s decree is sealed with the king’s signet ring, sent to every province, drafted in every language, and backed by the full machinery of the Persian empire. By every visible measure, it is irrevocable and absolute. The chapter ends with the king drinking and Susa bewildered. The reader is meant to feel the totality of that threat — and then to bring it into contact with Genesis 12:3 and Romans 8:31. The covenant-keeping God who has bound Himself to His people does not exempt them from hostile systems — Esther 3 proves that — but He is never subordinated to those systems. What you must believe is not that God’s people will always be comfortable or politically protected, but that no decree written against them can outlast the decree written over them before the foundation of the world.</w:t>
      </w:r>
    </w:p>
    <w:p>
      <w:pPr>
        <w:pStyle w:val="BodyText"/>
      </w:pPr>
      <w:r>
        <w:rPr>
          <w:b/>
          <w:bCs/>
        </w:rPr>
        <w:t xml:space="preserve">2. Grieve honestly what hostility to the people of God looks like in history — do not spiritualize it into abstraction.</w:t>
      </w:r>
      <w:r>
        <w:t xml:space="preserve"> </w:t>
      </w:r>
      <w:r>
        <w:rPr>
          <w:i/>
          <w:iCs/>
        </w:rPr>
        <w:t xml:space="preserve">(Affections/worship)</w:t>
      </w:r>
      <w:r>
        <w:t xml:space="preserve"> </w:t>
      </w:r>
      <w:r>
        <w:t xml:space="preserve">The text gives three verbs: destroy, kill, annihilate. Every demographic is named: young and old, women and children. The property clause is included to incentivize participation. This is not background noise — it is a detailed portrait of what hatred, when given authority, actually does. The appropriate response is grief, not detachment. The church that cannot grieve the suffering of the covenant community — whether in Persia, in Nazi Europe, in the Sudan, or in the neighborhood — has not read Esther 3 with its eyes open. Lament is not faithlessness. Lament is the honest acknowledgment that things are not as they should be, held alongside the trust that God has not forgotten. Do not flee to comfort too quickly. Sit in the bewilderment of Susa long enough to feel what is genuinely at stake.</w:t>
      </w:r>
    </w:p>
    <w:p>
      <w:pPr>
        <w:pStyle w:val="BodyText"/>
      </w:pPr>
      <w:r>
        <w:rPr>
          <w:b/>
          <w:bCs/>
        </w:rPr>
        <w:t xml:space="preserve">3. Examine what you are willing to compromise about your identity in God’s covenant community to avoid the cost of refusal.</w:t>
      </w:r>
      <w:r>
        <w:t xml:space="preserve"> </w:t>
      </w:r>
      <w:r>
        <w:rPr>
          <w:i/>
          <w:iCs/>
        </w:rPr>
        <w:t xml:space="preserve">(Will/behavior)</w:t>
      </w:r>
      <w:r>
        <w:t xml:space="preserve"> </w:t>
      </w:r>
      <w:r>
        <w:t xml:space="preserve">Mordecai’s refusal is daily, deliberate, and costly. He does not make a dramatic public declaration — he simply refuses, day after day, when asked to bow. And he tells them why: he is a Jew. The question the text presses on the reader is not theological but personal and concrete:</w:t>
      </w:r>
      <w:r>
        <w:t xml:space="preserve"> </w:t>
      </w:r>
      <w:r>
        <w:rPr>
          <w:i/>
          <w:iCs/>
        </w:rPr>
        <w:t xml:space="preserve">what is the thing you are being asked to bow to, and what are you doing?</w:t>
      </w:r>
      <w:r>
        <w:t xml:space="preserve"> </w:t>
      </w:r>
      <w:r>
        <w:t xml:space="preserve">The cost of Mordecai’s refusal is enormous — his people become a target. The text does not pretend otherwise. But the refusal is grounded in identity, not calculation. Where are you currently calculating whether to bow — to a professional expectation, a cultural demand, a relational pressure — because the cost of refusal feels too high? Esther 3 does not make that calculation easier. It simply shows what the alternatives look like when pride, power, and opportunity converge on the other side of the bow.</w:t>
      </w:r>
    </w:p>
    <w:p>
      <w:pPr>
        <w:pStyle w:val="BodyText"/>
      </w:pPr>
      <w:r>
        <w:rPr>
          <w:b/>
          <w:bCs/>
        </w:rPr>
        <w:t xml:space="preserve">4. See Haman’s wounded pride for what it is — the diagnostic for your own heart when honor withheld becomes the organizing principle of your life.</w:t>
      </w:r>
      <w:r>
        <w:t xml:space="preserve"> </w:t>
      </w:r>
      <w:r>
        <w:rPr>
          <w:i/>
          <w:iCs/>
        </w:rPr>
        <w:t xml:space="preserve">(Affections/worship)</w:t>
      </w:r>
      <w:r>
        <w:t xml:space="preserve"> </w:t>
      </w:r>
      <w:r>
        <w:t xml:space="preserve">Haman has everything: position, wealth, access, the king’s favor. And he cannot enjoy any of it because one man will not bow. Verse 5 says he was</w:t>
      </w:r>
      <w:r>
        <w:t xml:space="preserve"> </w:t>
      </w:r>
      <w:r>
        <w:t xml:space="preserve">“filled with fury.”</w:t>
      </w:r>
      <w:r>
        <w:t xml:space="preserve"> </w:t>
      </w:r>
      <w:r>
        <w:t xml:space="preserve">One man’s refusal becomes the wound around which an entire empire’s resources are organized. This is not merely a character study — it is an idol-anatomy lesson. The idol Haman serves is his own honor, and when that idol is denied its tribute, no amount of political success, familial blessing, or material abundance can satisfy. Ask yourself: what is the thing that, when withheld or refused, causes everything else you have to lose its taste? That is not an inconvenience. That is your Haman-wound — and it is worth diagnosing before it expands into something you cannot undo.</w:t>
      </w:r>
    </w:p>
    <w:p>
      <w:pPr>
        <w:pStyle w:val="BodyText"/>
      </w:pPr>
      <w:r>
        <w:rPr>
          <w:b/>
          <w:bCs/>
        </w:rPr>
        <w:t xml:space="preserve">5. Pray specifically and concretely for those whose lives are currently suspended under hostile human power — by name, by situation, not in generalities.</w:t>
      </w:r>
      <w:r>
        <w:t xml:space="preserve"> </w:t>
      </w:r>
      <w:r>
        <w:rPr>
          <w:i/>
          <w:iCs/>
        </w:rPr>
        <w:t xml:space="preserve">(Will/behavior)</w:t>
      </w:r>
      <w:r>
        <w:t xml:space="preserve"> </w:t>
      </w:r>
      <w:r>
        <w:t xml:space="preserve">The city of Susa is bewildered. The Jewish people in the provinces have eleven months to live under a signed, sealed, irrevocable decree. The book of Esther in its canonical form presses the reader not toward passive trust but toward active engagement — Mordecai will go into mourning; Esther will be pressed to act; prayer and fasting will be called (chapter 4). That movement begins with honest recognition of the situation. Identify a person, a community, or a people who are currently living under the shadow of a decree they did not write and cannot repeal — a diagnosis, a legal situation, a political persecution, an unjust system bearing down with institutional weight. Pray for them by name. Do not spiritualize their situation into a generic request. The God who works providentially through couriers and banquets and queens and signet rings is the same God who hears specific prayers for specific people in specific danger.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3 teaches, through narrative rather than proposition, that God’s covenant people are genuinely and seriously vulnerable to human power — and that this vulnerability does not indicate divine abandonment or covenantal failure. The machinery of empire in this chapter is not symbolic; it is real, effective, and lethal. The theological content the text insists upon is that hostility to the covenant community is neither surprising nor finally determinative. The same God who made Himself known through the exodus — a people utterly without political protection saved by sovereign divine action — is the God whose fingerprints are all over the apparently coincidental structure of the preceding chapters. The absence of God’s name from the text is itself a theological claim: God’s sovereignty is not diminished by His hiddenness. The decree goes out; the lots are cast; the king drinks. And none of it escapes the God who governs the lots (Proverbs 16:33), who raises up and removes kings (Daniel 2:21), and who has bound Himself by covenant to the people Haman is trying to destroy.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Esther 3 is a canonical enactment of the Reformed doctrine of providence at its most challenging: God’s governance of all things, including the darkest cruelties of human history, in a way that neither removes human agency nor abandons the covenant community. Haman is fully responsible for his pride and his decree — the text does not soften his culpability or suggest he is a marionette. Xerxes is fully responsible for his casual, uninvestigated delegation of genocidal authority. And yet the story — including this chapter — is manifestly moving toward a providential reversal that neither character can see and neither character can prevent. This is not deism (God wound the clock and left); it is not fatalism (human choices are illusory); it is Reformed providence: God works</w:t>
      </w:r>
      <w:r>
        <w:t xml:space="preserve"> </w:t>
      </w:r>
      <w:r>
        <w:rPr>
          <w:i/>
          <w:iCs/>
        </w:rPr>
        <w:t xml:space="preserve">through</w:t>
      </w:r>
      <w:r>
        <w:t xml:space="preserve"> </w:t>
      </w:r>
      <w:r>
        <w:t xml:space="preserve">human choices, including sinful ones, without becoming the author of sin, to accomplish His covenantal purposes. For the preacher, this means Esther 3 is also a gospel chapter: the people who cannot save themselves are not abandoned to the decree written against them. The gospel pattern — total need, no human solution, divine intervention through an unlikely agent — is here in narrative form, centuries before the cross, and it is meant to be read as the same story. Christ is the one who stands between the irrevocable decree written against His people and its execution — and who bears it in their place.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decree is signed, sealed, and sent. The king is drinking. The city is bewildered. And the God whose name does not appear in this chapter is no less present, no less sovereign, and no less committed to the people the decree has targeted. This is what it looks like to be the covenant community in a fallen world — genuinely vulnerable, genuinely exposed, genuinely in need of rescue from outside the story. Stop trusting the absence of visible threat as evidence of God’s protection, and stop reading visible threat as evidence of God’s absence. He governs both — and He has bound Himself to bring His people through.</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Moralizing Mordecai’s refusal without engaging its cost.</w:t>
      </w:r>
      <w:r>
        <w:t xml:space="preserve"> </w:t>
      </w:r>
      <w:r>
        <w:t xml:space="preserve">The most common homiletical move in Esther 3 is to celebrate Mordecai’s principled stand and urge the congregation to</w:t>
      </w:r>
      <w:r>
        <w:t xml:space="preserve"> </w:t>
      </w:r>
      <w:r>
        <w:t xml:space="preserve">“be like Mordecai.”</w:t>
      </w:r>
      <w:r>
        <w:t xml:space="preserve"> </w:t>
      </w:r>
      <w:r>
        <w:t xml:space="preserve">But the text does not present his refusal as costless courage — it presents it as the trigger for the attempted annihilation of his entire people. The preacher who preaches Mordecai as a simple hero has not read the chapter to its end. The refusal is right, but the text insists the reader feel its consequences before drawing application. Do not flatten complexity into inspiration.</w:t>
      </w:r>
    </w:p>
    <w:p>
      <w:pPr>
        <w:numPr>
          <w:ilvl w:val="0"/>
          <w:numId w:val="1002"/>
        </w:numPr>
      </w:pPr>
      <w:r>
        <w:rPr>
          <w:b/>
          <w:bCs/>
        </w:rPr>
        <w:t xml:space="preserve">Skipping Haman too quickly to get to providence.</w:t>
      </w:r>
      <w:r>
        <w:t xml:space="preserve"> </w:t>
      </w:r>
      <w:r>
        <w:t xml:space="preserve">Haman is one of the most psychologically precise portraits of wounded pride in all of Scripture, and preachers regularly rush past him to make the theological point about God’s hidden sovereignty. This is a loss. The text slows down at verse 5 —</w:t>
      </w:r>
      <w:r>
        <w:t xml:space="preserve"> </w:t>
      </w:r>
      <w:r>
        <w:t xml:space="preserve">“Haman saw that Mordecai neither bowed nor did obeisance, and Haman was filled with fury”</w:t>
      </w:r>
      <w:r>
        <w:t xml:space="preserve"> </w:t>
      </w:r>
      <w:r>
        <w:t xml:space="preserve">— for a reason. The diagnostic of a man whose entire life is organized around the withholding of honor he believes he deserves is a pastoral gift to a congregation full of people who recognize the pattern in themselves. Preach Haman before you preach providence.</w:t>
      </w:r>
    </w:p>
    <w:p>
      <w:pPr>
        <w:numPr>
          <w:ilvl w:val="0"/>
          <w:numId w:val="1002"/>
        </w:numPr>
      </w:pPr>
      <w:r>
        <w:rPr>
          <w:b/>
          <w:bCs/>
        </w:rPr>
        <w:t xml:space="preserve">Using the absence of God’s name as an apologetic problem to be solved rather than a theological statement to be preached.</w:t>
      </w:r>
      <w:r>
        <w:t xml:space="preserve"> </w:t>
      </w:r>
      <w:r>
        <w:t xml:space="preserve">Preachers occasionally spend significant time defending the canonicity of Esther or explaining why God’s name doesn’t appear. This inverts the text’s intention. The absence of God’s name is the sermon — not the problem. The book is designed to produce readers who learn to see providence in the ordinary, the coincidental, and the hidden. Preach the hiddenness as the point, not as the awkwardness.</w:t>
      </w:r>
    </w:p>
    <w:p>
      <w:pPr>
        <w:numPr>
          <w:ilvl w:val="0"/>
          <w:numId w:val="1002"/>
        </w:numPr>
      </w:pPr>
      <w:r>
        <w:rPr>
          <w:b/>
          <w:bCs/>
        </w:rPr>
        <w:t xml:space="preserve">Presenting Haman’s decree as the moral low point of the chapter without noting Xerxes’ equal culpability.</w:t>
      </w:r>
      <w:r>
        <w:t xml:space="preserve"> </w:t>
      </w:r>
      <w:r>
        <w:t xml:space="preserve">Haman drives the chapter’s evil, but Xerxes enables it with breathtaking indifference — he never asks who</w:t>
      </w:r>
      <w:r>
        <w:t xml:space="preserve"> </w:t>
      </w:r>
      <w:r>
        <w:t xml:space="preserve">“these people”</w:t>
      </w:r>
      <w:r>
        <w:t xml:space="preserve"> </w:t>
      </w:r>
      <w:r>
        <w:t xml:space="preserve">are, never investigates the charge, and immediately hands over his signet ring. The preacher who focuses only on Haman’s hatred misses the text’s second warning: that unchecked power in the hands of a man who asks no questions is just as lethal as active malice. Systems of injustice require both actors. Name both.</w:t>
      </w:r>
    </w:p>
    <w:p>
      <w:pPr>
        <w:numPr>
          <w:ilvl w:val="0"/>
          <w:numId w:val="1002"/>
        </w:numPr>
      </w:pPr>
      <w:r>
        <w:rPr>
          <w:b/>
          <w:bCs/>
        </w:rPr>
        <w:t xml:space="preserve">Resolving the chapter’s dread too quickly with a New Testament flourish.</w:t>
      </w:r>
      <w:r>
        <w:t xml:space="preserve"> </w:t>
      </w:r>
      <w:r>
        <w:t xml:space="preserve">Esther 3 is meant to end in bewilderment — that is its literary and theological function. The chapter creates a suspension that chapters 4–10 will resolve, and the resolution should feel like relief precisely because the dread was real. Preachers who immediately pivot to</w:t>
      </w:r>
      <w:r>
        <w:t xml:space="preserve"> </w:t>
      </w:r>
      <w:r>
        <w:t xml:space="preserve">“but of course God was in control!”</w:t>
      </w:r>
      <w:r>
        <w:t xml:space="preserve"> </w:t>
      </w:r>
      <w:r>
        <w:t xml:space="preserve">after verse 15 rob the text of its intended effect. Let the bewilderment breathe. The congregation needs to feel what it means to need rescue before they can feel what it means to receive it. The gospel is most clearly heard when the problem has been most honestly stated.</w:t>
      </w:r>
    </w:p>
    <w:p>
      <w:pPr>
        <w:numPr>
          <w:ilvl w:val="0"/>
          <w:numId w:val="1002"/>
        </w:numPr>
      </w:pPr>
      <w:r>
        <w:rPr>
          <w:b/>
          <w:bCs/>
        </w:rPr>
        <w:t xml:space="preserve">Failing to connect the lot (pur) to providence.</w:t>
      </w:r>
      <w:r>
        <w:t xml:space="preserve"> </w:t>
      </w:r>
      <w:r>
        <w:t xml:space="preserve">Verse 7 is frequently under-preached. Haman casts the</w:t>
      </w:r>
      <w:r>
        <w:t xml:space="preserve"> </w:t>
      </w:r>
      <w:r>
        <w:rPr>
          <w:i/>
          <w:iCs/>
        </w:rPr>
        <w:t xml:space="preserve">pur</w:t>
      </w:r>
      <w:r>
        <w:t xml:space="preserve"> </w:t>
      </w:r>
      <w:r>
        <w:t xml:space="preserve">to determine the optimal date for genocide — and the lot falls on a date eleven months away. The preacher who treats this as a mere narrative detail has missed the text’s irony: the very mechanism Haman uses to maximize his plan’s success (finding the most propitious day) is the mechanism that gives God’s hidden workings time to move. Proverbs 16:33 —</w:t>
      </w:r>
      <w:r>
        <w:t xml:space="preserve"> </w:t>
      </w:r>
      <w:r>
        <w:t xml:space="preserve">“The lot is cast into the lap, but its every decision is from the LORD”</w:t>
      </w:r>
      <w:r>
        <w:t xml:space="preserve"> </w:t>
      </w:r>
      <w:r>
        <w:t xml:space="preserve">— is the theological key to verse 7. The pagan instrument of fate is, without Haman’s knowledge, an instrument of providence.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2026-07-14T21:03:48Z</dcterms:created>
  <dcterms:modified xsi:type="dcterms:W3CDTF">2026-07-14T21:03:48Z</dcterms:modified>
</cp:coreProperties>
</file>

<file path=docProps/custom.xml><?xml version="1.0" encoding="utf-8"?>
<Properties xmlns="http://schemas.openxmlformats.org/officeDocument/2006/custom-properties" xmlns:vt="http://schemas.openxmlformats.org/officeDocument/2006/docPropsVTypes"/>
</file>